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26866F" w14:textId="77777777" w:rsidR="006214C9" w:rsidRDefault="006214C9" w:rsidP="009A3EE5">
      <w:pPr>
        <w:spacing w:after="0"/>
      </w:pPr>
      <w:r>
        <w:t xml:space="preserve">AMS </w:t>
      </w:r>
      <w:proofErr w:type="spellStart"/>
      <w:r>
        <w:t>info</w:t>
      </w:r>
      <w:proofErr w:type="spellEnd"/>
      <w:r>
        <w:t xml:space="preserve"> 776</w:t>
      </w:r>
    </w:p>
    <w:p w14:paraId="08FCC38D" w14:textId="562233B5" w:rsidR="00E46D66" w:rsidRDefault="00E46D66" w:rsidP="009A3EE5">
      <w:pPr>
        <w:spacing w:after="0"/>
      </w:pPr>
      <w:r>
        <w:t>Andreas Niederl</w:t>
      </w:r>
      <w:r w:rsidR="009A3EE5">
        <w:t>,</w:t>
      </w:r>
      <w:r>
        <w:t xml:space="preserve"> Beate Friedl</w:t>
      </w:r>
      <w:r w:rsidR="009A3EE5">
        <w:t>,</w:t>
      </w:r>
      <w:r>
        <w:t xml:space="preserve"> Dominik Janisch</w:t>
      </w:r>
      <w:r w:rsidR="009A3EE5">
        <w:t>,</w:t>
      </w:r>
      <w:r>
        <w:t xml:space="preserve"> Christina Kaltenegger</w:t>
      </w:r>
    </w:p>
    <w:p w14:paraId="3249C3EA" w14:textId="7889FE0D" w:rsidR="00E642F6" w:rsidRPr="009A3EE5" w:rsidRDefault="00DA0DDA" w:rsidP="009A3EE5">
      <w:pPr>
        <w:spacing w:after="0"/>
        <w:rPr>
          <w:b/>
          <w:bCs/>
        </w:rPr>
      </w:pPr>
      <w:r w:rsidRPr="009A3EE5">
        <w:rPr>
          <w:b/>
          <w:bCs/>
        </w:rPr>
        <w:t>Erweiterung des Arbeitskräftepotenzial</w:t>
      </w:r>
      <w:r w:rsidR="006214C9">
        <w:rPr>
          <w:b/>
          <w:bCs/>
        </w:rPr>
        <w:t>e</w:t>
      </w:r>
      <w:r w:rsidRPr="009A3EE5">
        <w:rPr>
          <w:b/>
          <w:bCs/>
        </w:rPr>
        <w:t>s: Hindernisse, Motive und Erwartungen von erwerbsfernen Personen am österreichischen Arbeitsmark</w:t>
      </w:r>
      <w:r w:rsidR="00EB7F8D" w:rsidRPr="009A3EE5">
        <w:rPr>
          <w:b/>
          <w:bCs/>
        </w:rPr>
        <w:t>t</w:t>
      </w:r>
    </w:p>
    <w:p w14:paraId="4D26AE19" w14:textId="5312A9CE" w:rsidR="00E46D66" w:rsidRDefault="009A3EE5" w:rsidP="009A3EE5">
      <w:pPr>
        <w:spacing w:after="0"/>
      </w:pPr>
      <w:r>
        <w:t>Zentrale Ergebnisse einer aktuellen Studie im Auftrag des AMS Österreich</w:t>
      </w:r>
    </w:p>
    <w:p w14:paraId="688B6DD0" w14:textId="77777777" w:rsidR="009A3EE5" w:rsidRDefault="009A3EE5" w:rsidP="009A3EE5">
      <w:pPr>
        <w:spacing w:after="0"/>
      </w:pPr>
    </w:p>
    <w:p w14:paraId="5DF162BF" w14:textId="77777777" w:rsidR="009A3EE5" w:rsidRDefault="009A3EE5" w:rsidP="009A3EE5">
      <w:pPr>
        <w:spacing w:after="0"/>
      </w:pPr>
    </w:p>
    <w:p w14:paraId="003A7828" w14:textId="49E8A558" w:rsidR="00E46D66" w:rsidRPr="00E46D66" w:rsidRDefault="00E46D66" w:rsidP="009A3EE5">
      <w:pPr>
        <w:spacing w:after="0"/>
        <w:rPr>
          <w:b/>
          <w:bCs/>
        </w:rPr>
      </w:pPr>
      <w:r w:rsidRPr="00E46D66">
        <w:rPr>
          <w:b/>
          <w:bCs/>
        </w:rPr>
        <w:t>1 Einleitung</w:t>
      </w:r>
    </w:p>
    <w:p w14:paraId="35BF5F1A" w14:textId="6010A3A8" w:rsidR="001A45C5" w:rsidRDefault="00E46D66" w:rsidP="009A3EE5">
      <w:pPr>
        <w:spacing w:after="0"/>
      </w:pPr>
      <w:r>
        <w:t>Die Gruppe der erwerbsfernen Personen im erwerbsfähigen Alter (18–64 Jahre, nicht in Ausbildung, nicht in Pension, ohne Zivil-/Präsenzdienst, ohne Wochengeldbezug im letzten Jahr) stellt ein erhebliches Potenzial für den österreichischen Arbeitsmarkt dar</w:t>
      </w:r>
      <w:r w:rsidR="001A45C5">
        <w:t xml:space="preserve"> und stellt den Fokus dieser Studie im Auftrag de</w:t>
      </w:r>
      <w:r w:rsidR="009A3EE5">
        <w:t>s AMS Österreich</w:t>
      </w:r>
      <w:r w:rsidR="006214C9">
        <w:t xml:space="preserve"> dar</w:t>
      </w:r>
      <w:r w:rsidR="001A45C5">
        <w:t>.</w:t>
      </w:r>
      <w:r w:rsidR="001A45C5">
        <w:rPr>
          <w:rStyle w:val="Funotenzeichen"/>
        </w:rPr>
        <w:footnoteReference w:id="1"/>
      </w:r>
    </w:p>
    <w:p w14:paraId="6F634484" w14:textId="77777777" w:rsidR="006214C9" w:rsidRDefault="006214C9" w:rsidP="009A3EE5">
      <w:pPr>
        <w:spacing w:after="0"/>
      </w:pPr>
    </w:p>
    <w:p w14:paraId="4DF25ABA" w14:textId="77777777" w:rsidR="006214C9" w:rsidRDefault="006214C9" w:rsidP="009A3EE5">
      <w:pPr>
        <w:spacing w:after="0"/>
      </w:pPr>
    </w:p>
    <w:p w14:paraId="496914B4" w14:textId="200ECA30" w:rsidR="006214C9" w:rsidRPr="006214C9" w:rsidRDefault="006214C9" w:rsidP="009A3EE5">
      <w:pPr>
        <w:spacing w:after="0"/>
        <w:rPr>
          <w:b/>
          <w:bCs/>
        </w:rPr>
      </w:pPr>
      <w:r w:rsidRPr="006214C9">
        <w:rPr>
          <w:b/>
          <w:bCs/>
        </w:rPr>
        <w:t>2 Zentrale Studienergebnisse</w:t>
      </w:r>
    </w:p>
    <w:p w14:paraId="5C429265" w14:textId="355BC6E0" w:rsidR="00E46D66" w:rsidRDefault="00E46D66" w:rsidP="009A3EE5">
      <w:pPr>
        <w:spacing w:after="0"/>
      </w:pPr>
      <w:r>
        <w:t>Beschränkt man sich auf jenen Teil dieser Gruppe, deren erwerbsferne Phase mindestens ein Jahr betrug und die sich damit nicht nur in einer kürzeren beruflichen oder ausbildungsbezogenen Übergangsphase befanden, lag das potenziell aktivierbare Arbeitskräftepotenzial in Österreich im Jahr 2024 im Jahresdurchschnitt bei 291 T</w:t>
      </w:r>
      <w:r w:rsidR="001A45C5">
        <w:t>ausend</w:t>
      </w:r>
      <w:r>
        <w:t xml:space="preserve"> Personen.</w:t>
      </w:r>
      <w:r>
        <w:rPr>
          <w:rStyle w:val="Funotenzeichen"/>
        </w:rPr>
        <w:footnoteReference w:id="2"/>
      </w:r>
      <w:r>
        <w:t xml:space="preserve"> Frauen sind dabei deutlich überrepräsentiert, sie machen mit 218 Tausend etwa drei Viertel dieses Potenziales aus. Im vergangenen Jahrzehnt ging das potenziell aktivierbare Arbeitskräftepotenzial dabei deutlich zurück. Es sank von 367 T</w:t>
      </w:r>
      <w:r w:rsidR="001A45C5">
        <w:t>ausend</w:t>
      </w:r>
      <w:r>
        <w:t xml:space="preserve"> im Jahr 2013 auf 291 Tausend im Jahr 2024, ein Rückgang von etwa 20 Prozent, der direkt mit der steigenden Erwerbspartizipation von Frauen einhergeht. Vom potenziell aktivierbaren Arbeitskräftepotenzial von 291 Tausend Personen war etwa ein Fünftel zumindest zeitweise geringfügig beschäftigt (geringfügig Beschäftigte zählen per Definition zur Personengruppe </w:t>
      </w:r>
      <w:r w:rsidR="009A3EE5">
        <w:t>„</w:t>
      </w:r>
      <w:r>
        <w:t xml:space="preserve">Out </w:t>
      </w:r>
      <w:proofErr w:type="spellStart"/>
      <w:r>
        <w:t>of</w:t>
      </w:r>
      <w:proofErr w:type="spellEnd"/>
      <w:r>
        <w:t xml:space="preserve"> Labour Force</w:t>
      </w:r>
      <w:r w:rsidR="009A3EE5">
        <w:t>“</w:t>
      </w:r>
      <w:r>
        <w:t xml:space="preserve">, kurz: OLF), d.h. im Umkehrschluss, dass sich 226 Tausend Personen gar nicht – auch nicht geringfügig – am Arbeitsmarkt beteiligten. Außerdem besteht das potenziell aktivierbare Arbeitskräftepotenzial zum größten Teil aus österreichischen </w:t>
      </w:r>
      <w:proofErr w:type="spellStart"/>
      <w:proofErr w:type="gramStart"/>
      <w:r>
        <w:t>Staatsbürger:innen</w:t>
      </w:r>
      <w:proofErr w:type="spellEnd"/>
      <w:proofErr w:type="gramEnd"/>
      <w:r>
        <w:t xml:space="preserve">, sie machten 2024 etwa die Hälfte der Gruppe aus. Unter ukrainischen, syrischen, afghanischen, türkischen und russischen Staatsbürgerinnen sowie unter ukrainischen Staatsbürgern finden sich besonders hohe Anteile potenziell aktivierbarer erwerbsferner Personen innerhalb der jeweiligen Bevölkerungsgruppe. Das deutet auf strukturelle Hürden bei der Arbeitsmarktintegration hin, </w:t>
      </w:r>
      <w:r w:rsidR="006214C9">
        <w:t xml:space="preserve">so </w:t>
      </w:r>
      <w:r>
        <w:t>vor allem durch das Zusammenspiel von Migrationshintergrund, Aufenthaltsstatus, Sprachbarrieren, gesundheitlichen Einschränkungen sowie familiären und kulturellen Bedingungen, die die Erwerbsbeteiligung erschweren. Die Analyse der Verläufe des Arbeitsmarktstatus belegt eine doppelte Dynamik</w:t>
      </w:r>
      <w:r w:rsidR="006214C9">
        <w:t>, nämlich</w:t>
      </w:r>
      <w:r>
        <w:t xml:space="preserve"> einerseits eine hohe Mobilität von potenziell aktivierbaren, erwerbsfernen Personen mit zahlreichen Übergängen in Erwerbstätigkeit oder AMS-Vormerkung (in einem Betrachtungszeitraum von fünf Jahren schaffen etwa 40 Prozent den Übergang in Beschäftigung sowie weitere zehn Prozent in eine AMS-Vormerkung), andererseits eine persistente Erwerbsferne bei weiteren 40 Prozent.</w:t>
      </w:r>
      <w:r>
        <w:rPr>
          <w:rStyle w:val="Funotenzeichen"/>
        </w:rPr>
        <w:footnoteReference w:id="3"/>
      </w:r>
      <w:r>
        <w:t xml:space="preserve"> Insgesamt verdeutlichen die quantitativen Befunde, dass es sich bei der Zielgruppe weder um eine einheitliche Randgruppe noch um eine ausschließlich schwer aktivierbare Personengruppe </w:t>
      </w:r>
      <w:r>
        <w:lastRenderedPageBreak/>
        <w:t xml:space="preserve">handelt. Vielmehr handelt es sich um eine sehr heterogene Gruppe, was </w:t>
      </w:r>
      <w:proofErr w:type="gramStart"/>
      <w:r>
        <w:t>Erwerbsbiogra</w:t>
      </w:r>
      <w:r w:rsidR="001A45C5">
        <w:t>ph</w:t>
      </w:r>
      <w:r>
        <w:t>ien</w:t>
      </w:r>
      <w:proofErr w:type="gramEnd"/>
      <w:r>
        <w:t xml:space="preserve"> und individuelle Merkmale betrifft.</w:t>
      </w:r>
    </w:p>
    <w:p w14:paraId="408D9A0C" w14:textId="03223D6D" w:rsidR="00E46D66" w:rsidRDefault="00E46D66" w:rsidP="006214C9">
      <w:pPr>
        <w:spacing w:after="0"/>
      </w:pPr>
      <w:r>
        <w:t>Die qualitativen Analysen, basierend auf leitfadengestützten Interviews sowie einer Online</w:t>
      </w:r>
      <w:r w:rsidR="006214C9">
        <w:t>-B</w:t>
      </w:r>
      <w:r>
        <w:t xml:space="preserve">efragung, verdeutlichen, dass erwerbsferne Personen auch in Bezug auf Motive, Hindernisse und Einstellung zur Arbeit keine homogene Gruppe darstellen. Vielmehr zeigt sich eine Vielzahl an Lebensrealitäten, die sich aus individuellen </w:t>
      </w:r>
      <w:proofErr w:type="gramStart"/>
      <w:r>
        <w:t>Biographien</w:t>
      </w:r>
      <w:proofErr w:type="gramEnd"/>
      <w:r>
        <w:t xml:space="preserve">, familiären Rahmenbedingungen, gesundheitlichen Faktoren und strukturellen Barrieren zusammensetzen. Was die Gruppe auszeichnet, ist allerdings, dass ein erheblicher Teil den Wunsch hat, (wieder) am Arbeitsmarkt teilzunehmen, individuelle oder strukturelle Faktoren dem aber (zumindest temporär) entgegenstehen. Ein zentraler Befund betrifft die Rolle familiärer Verpflichtungen: Insbesondere bei Frauen führen Betreuungsaufgaben für (kleine) Kinder häufig oder die Pflege von Angehörigen seltener zu einer – teils nur vorübergehenden, teils langfristigen – Distanz zum Arbeitsmarkt. Während ein Teil diese Entscheidung bewusst trifft, ist der Rückzug vom Arbeitsmarkt häufig eine reaktive Anpassung an strukturelle Gegebenheiten, </w:t>
      </w:r>
      <w:r w:rsidR="009A3EE5">
        <w:t>so z.B.</w:t>
      </w:r>
      <w:r>
        <w:t xml:space="preserve"> aufgrund fehlender oder nicht leistbarer Betreuungsangebote, unflexibler Arbeitszeitmodelle oder auch innerfamiliärer Rollenerwartungen. Eine weitere Gruppe sind Personen, die – zumindest temporär – bewusst auf Erwerbsarbeit verzichten, sei es zugunsten familiärer Aufgaben, aus Gründen der Lebensqualität oder aufgrund finanzieller Unabhängigkeit, etwa durch Partnereinkommen oder Vermögen. Die Risiken einer finanziellen Abhängigkeit oder einer dauerhaften Entkopplung vom Arbeitsmarkt, die mit dieser Lebensgestaltung vielfach einhergehen, werden bewusst – oder unbewusst – in Kauf genommen. Sprach- und Integrationshürden sind für viele Menschen mit Migrationsgeschichte ein Hemmnis bei der Arbeitsmarktpartizipation. Gerade fehlende oder sehr eingeschränkte Sprachkenntnisse und nicht anerkannte Bildungsabschlüsse erschweren den Zugang zu qualifikationsadäquater Beschäftigung. Diese Barrieren treffen vielfach mit familiären Betreuungspflichten zusammen und wirken damit noch stärker. Ein weiterer Teil der erwerbsfernen Personen zeigt deutliche Anzeichen von Frustration oder Resignation infolge negativer Arbeitsmarkterfahrungen. Zu den häufig genannten Ursachen zählen mangelnde Wertschätzung, belastende oder überfordernde Arbeitsbedingungen, Diskriminierung sowie wiederholte erfolglose Bewerbungen. Auch ein über die Jahre gewachsenes Defizit an Selbstvertrauen, bedingt durch eine lange Abwesenheit </w:t>
      </w:r>
      <w:proofErr w:type="gramStart"/>
      <w:r>
        <w:t>vom Arbeitsmarkt</w:t>
      </w:r>
      <w:proofErr w:type="gramEnd"/>
      <w:r>
        <w:t xml:space="preserve">, wirkt hier hemmend. Gleichwohl bleibt für viele Betroffene Erwerbsarbeit ein wichtiges Ziel. Allerdings ist ihre Bereitschaft zur (Wieder-)Integration in den Arbeitsmarkt oftmals an spezifische Bedingungen geknüpft, insbesondere an eine faire und angemessene Entlohnung sowie ein wertschätzendes und unterstützendes Arbeitsumfeld. Schließlich umfasst die Gruppe der erwerbsfernen Personen auch solche mit gesundheitsbedingten Einschränkungen – sowohl körperlicher als auch psychischer Natur. Viele von ihnen fühlen sich subjektiv nicht arbeitsfähig, ohne dass dies formal anerkannt wäre. </w:t>
      </w:r>
    </w:p>
    <w:p w14:paraId="3B7A933E" w14:textId="77777777" w:rsidR="00E46D66" w:rsidRDefault="00E46D66" w:rsidP="006214C9">
      <w:pPr>
        <w:spacing w:after="0"/>
      </w:pPr>
    </w:p>
    <w:p w14:paraId="1B47D4B1" w14:textId="5BFB7CC2" w:rsidR="00E46D66" w:rsidRPr="00E46D66" w:rsidRDefault="006214C9" w:rsidP="006214C9">
      <w:pPr>
        <w:spacing w:after="0"/>
        <w:rPr>
          <w:b/>
          <w:bCs/>
        </w:rPr>
      </w:pPr>
      <w:r>
        <w:rPr>
          <w:b/>
          <w:bCs/>
        </w:rPr>
        <w:t xml:space="preserve">3 </w:t>
      </w:r>
      <w:r w:rsidR="00E46D66" w:rsidRPr="00E46D66">
        <w:rPr>
          <w:b/>
          <w:bCs/>
        </w:rPr>
        <w:t>Handlungsempfehlungen</w:t>
      </w:r>
    </w:p>
    <w:p w14:paraId="674E4C3C" w14:textId="60E41FD3" w:rsidR="00E46D66" w:rsidRDefault="00E46D66" w:rsidP="006214C9">
      <w:pPr>
        <w:spacing w:after="0"/>
      </w:pPr>
      <w:r>
        <w:t>Die Analysen zeigen, dass eine Nicht</w:t>
      </w:r>
      <w:r w:rsidR="006214C9">
        <w:t>-B</w:t>
      </w:r>
      <w:r>
        <w:t>eteiligung am Arbeitsmarkt in der Regel nicht auf fehlende Motivation oder generelle Arbeitsunwilligkeit zurückzuführen ist. Für einen erheblichen Teil des potenziell aktivierbaren Arbeitskräftepotenzial</w:t>
      </w:r>
      <w:r w:rsidR="006214C9">
        <w:t>e</w:t>
      </w:r>
      <w:r>
        <w:t xml:space="preserve">s hat Erwerbsarbeit einen hohen Stellenwert. Zugleich wird deutlich, dass es sich um eine heterogene Gruppe mit sehr unterschiedlichen Motiven, Lebenslagen und Barrieren handelt. Eine wirksame Aktivierungspolitik muss daher sowohl bei strukturellen Rahmenbedingungen als auch bei individuellen Unterstützungsangeboten ansetzen und dabei die teils komplexen persönlichen Lebenssituationen gezielt berücksichtigen. Für Personen mit familiären Verpflichtungen steht die bessere Vereinbarkeit von Erwerbsarbeit und Versorgungspflichten im Vordergrund. Zentrale Hebel sind der flächendeckende Ausbau leistbarer, qualitativ hochwertiger Kinderbetreuung – </w:t>
      </w:r>
      <w:r>
        <w:lastRenderedPageBreak/>
        <w:t>insbesondere für unter Dreijährige und in Randzeiten – sowie flexible Pflegeunterstützungsangebote. Auf Arbeitgeberseite können flexible Arbeitszeitmodelle, Homeoffice-Optionen und Arbeitszeitkonten helfen, Erwerbsarbeit an familiäre Erfordernisse anzupassen. Um zu verhindern, dass temporäre Erwerbspausen in dauerhafte Erwerbsabstinenz münden, sind gezielte Wiedereinstiegsprogramme mit Qualifizierung sinnvoll, die zeitnah an Erwerbsunterbrechungen anknüpfen. Auch für bewusst Erwerbsferne, die aus persönlichen Prioritätensetzungen vorübergehend aus dem Arbeitsmarkt ausscheiden, können solche Angebote relevant sein. Begleitend könnte eine Informationskampagne zur Sensibilisierung für die Risiken finanzieller Abhängigkeit – insbesondere bei Frauen – zweckmäßig sein. Für Personen mit Sprach- und Integrationshürden sind frühe, kontinuierliche Sprachförderung und eine schnelle, transparente Anerkennung im Ausland erworbener Qualifikationen entscheidend. Kombinierte Ansätze, die Spracherwerb und betriebliche Praxis verbinden, können den Übergang in Beschäftigung beschleunigen. Administrative Hürden – etwa komplexe Anerkennungsverfahren – sollten möglichst abgebaut werden. Beratungsangebote, die den Zusammenhang von Unterstützungsleistungen (z. B. Verlust des Wohnraums bei AMS-Vormerkung) und Beschäftigungschancen gemeinsam betrachten, können zusätzliche Aktivierungsimpulse setzen. Bei Erwerbsfernen mit Frust aufgrund negativer Arbeitsmarkterfahrungen und Resignation liegt der Schlüssel in der Stärkung von Selbstvertrauen und Vertrauen in den Arbeitsmarkt. Verbesserungen der Arbeitsbedingungen, insbesondere in belasteten Branchen bzw. Berufen, diskriminierungsfreie Bewerbungsverfahren und wertschätzende Aktivierungsangebote können helfen, Resignation zu überwinden. Individuelle Beratungen, die vorhandene Kompetenzen sichtbar machen und realistische Perspektiven aufzeigen, können unterstützend wirken. Für Personen mit gesundheitlichen Einschränkungen oder psychischen Belastungen wären stufenweise (Wieder-)Einstiegsmodelle hilfreich. Bei psychischen Erkrankungen sollte zunächst die Stabilisierung im Vordergrund stehen, bevor eine schrittweise Rückkehr in den Arbeitsmarkt – etwa über reduzierte Arbeitszeiten oder angepasste Tätigkeiten – erfolgen kann. Ganz allgemein gilt über alle Gruppen hinweg, dass die Aktivierung des potenziell aktivierbaren Arbeitskräftepotenzial</w:t>
      </w:r>
      <w:r w:rsidR="006214C9">
        <w:t>e</w:t>
      </w:r>
      <w:r>
        <w:t>s einen systemübergreifenden Ansatz erfordert, der auf Vertrauen, individuelle Passung und nahtlose Übergänge zwischen unterschiedlichen Unterstützungsleistungen setzt.</w:t>
      </w:r>
    </w:p>
    <w:p w14:paraId="377030F5" w14:textId="77777777" w:rsidR="006214C9" w:rsidRDefault="006214C9" w:rsidP="006214C9">
      <w:pPr>
        <w:spacing w:after="0"/>
      </w:pPr>
    </w:p>
    <w:p w14:paraId="02844B1A" w14:textId="2212A147" w:rsidR="006214C9" w:rsidRDefault="006214C9" w:rsidP="006214C9">
      <w:pPr>
        <w:spacing w:after="0"/>
      </w:pPr>
      <w:r>
        <w:t>Impressum: Dezember 2025</w:t>
      </w:r>
    </w:p>
    <w:p w14:paraId="0A9465C2" w14:textId="1F5770AA" w:rsidR="006214C9" w:rsidRDefault="006214C9" w:rsidP="006214C9">
      <w:pPr>
        <w:spacing w:after="0"/>
      </w:pPr>
      <w:r>
        <w:t>Anschrift AutorInnen</w:t>
      </w:r>
    </w:p>
    <w:p w14:paraId="4FE013DB" w14:textId="6BAE869F" w:rsidR="006214C9" w:rsidRDefault="006214C9" w:rsidP="006214C9">
      <w:pPr>
        <w:spacing w:after="0"/>
      </w:pPr>
      <w:r w:rsidRPr="006214C9">
        <w:t>https://www.joanneum.at/policies/</w:t>
      </w:r>
    </w:p>
    <w:sectPr w:rsidR="006214C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D647EB" w14:textId="77777777" w:rsidR="00580D85" w:rsidRDefault="00580D85" w:rsidP="00E46D66">
      <w:pPr>
        <w:spacing w:after="0" w:line="240" w:lineRule="auto"/>
      </w:pPr>
      <w:r>
        <w:separator/>
      </w:r>
    </w:p>
  </w:endnote>
  <w:endnote w:type="continuationSeparator" w:id="0">
    <w:p w14:paraId="7B040F65" w14:textId="77777777" w:rsidR="00580D85" w:rsidRDefault="00580D85" w:rsidP="00E46D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558484" w14:textId="77777777" w:rsidR="00580D85" w:rsidRDefault="00580D85" w:rsidP="00E46D66">
      <w:pPr>
        <w:spacing w:after="0" w:line="240" w:lineRule="auto"/>
      </w:pPr>
      <w:r>
        <w:separator/>
      </w:r>
    </w:p>
  </w:footnote>
  <w:footnote w:type="continuationSeparator" w:id="0">
    <w:p w14:paraId="4C951B1D" w14:textId="77777777" w:rsidR="00580D85" w:rsidRDefault="00580D85" w:rsidP="00E46D66">
      <w:pPr>
        <w:spacing w:after="0" w:line="240" w:lineRule="auto"/>
      </w:pPr>
      <w:r>
        <w:continuationSeparator/>
      </w:r>
    </w:p>
  </w:footnote>
  <w:footnote w:id="1">
    <w:p w14:paraId="095F8A4B" w14:textId="3E426EC7" w:rsidR="001A45C5" w:rsidRPr="001A45C5" w:rsidRDefault="001A45C5">
      <w:pPr>
        <w:pStyle w:val="Funotentext"/>
        <w:rPr>
          <w:rFonts w:ascii="Times New Roman" w:hAnsi="Times New Roman" w:cs="Times New Roman"/>
          <w:sz w:val="16"/>
          <w:szCs w:val="16"/>
        </w:rPr>
      </w:pPr>
      <w:r w:rsidRPr="001A45C5">
        <w:rPr>
          <w:rStyle w:val="Funotenzeichen"/>
          <w:rFonts w:ascii="Times New Roman" w:hAnsi="Times New Roman" w:cs="Times New Roman"/>
          <w:sz w:val="16"/>
          <w:szCs w:val="16"/>
        </w:rPr>
        <w:footnoteRef/>
      </w:r>
      <w:r w:rsidRPr="001A45C5">
        <w:rPr>
          <w:rFonts w:ascii="Times New Roman" w:hAnsi="Times New Roman" w:cs="Times New Roman"/>
          <w:sz w:val="16"/>
          <w:szCs w:val="16"/>
        </w:rPr>
        <w:t xml:space="preserve"> Durchgeführt vom Institut für Wirtschafts- und Innovationsforschung der JOANNEUM RESEARCH Forschungsgesellschaft POLICIES</w:t>
      </w:r>
      <w:r w:rsidR="006214C9" w:rsidRPr="006214C9">
        <w:t xml:space="preserve"> </w:t>
      </w:r>
      <w:r w:rsidR="006214C9">
        <w:rPr>
          <w:rFonts w:ascii="Times New Roman" w:hAnsi="Times New Roman" w:cs="Times New Roman"/>
          <w:sz w:val="16"/>
          <w:szCs w:val="16"/>
        </w:rPr>
        <w:t>(</w:t>
      </w:r>
      <w:r w:rsidR="006214C9" w:rsidRPr="006214C9">
        <w:rPr>
          <w:rFonts w:ascii="Times New Roman" w:hAnsi="Times New Roman" w:cs="Times New Roman"/>
          <w:sz w:val="16"/>
          <w:szCs w:val="16"/>
        </w:rPr>
        <w:t>www.joanneum.at/policies</w:t>
      </w:r>
      <w:r w:rsidR="006214C9">
        <w:rPr>
          <w:rFonts w:ascii="Times New Roman" w:hAnsi="Times New Roman" w:cs="Times New Roman"/>
          <w:sz w:val="16"/>
          <w:szCs w:val="16"/>
        </w:rPr>
        <w:t>)</w:t>
      </w:r>
      <w:r w:rsidRPr="001A45C5">
        <w:rPr>
          <w:rFonts w:ascii="Times New Roman" w:hAnsi="Times New Roman" w:cs="Times New Roman"/>
          <w:sz w:val="16"/>
          <w:szCs w:val="16"/>
        </w:rPr>
        <w:t>. Download der Langfassung dieser Studie in der E-Library des AMS-Forschungsnetzwerkes unter https://forschungsnetzwerk.ams.at/elibrary/publikation/ams-forschungsberichte/2025/erweiterung-des-arbeitskraeftepotenzials--hindernisse,-motive-und-erwartungen-von-erwerbsfernen-personen-am-oesterreichischen-arbeitsmarkt.html.</w:t>
      </w:r>
    </w:p>
  </w:footnote>
  <w:footnote w:id="2">
    <w:p w14:paraId="7198995B" w14:textId="59DA85A3" w:rsidR="00E46D66" w:rsidRPr="001A45C5" w:rsidRDefault="00E46D66">
      <w:pPr>
        <w:pStyle w:val="Funotentext"/>
        <w:rPr>
          <w:rFonts w:ascii="Times New Roman" w:hAnsi="Times New Roman" w:cs="Times New Roman"/>
          <w:sz w:val="16"/>
          <w:szCs w:val="16"/>
        </w:rPr>
      </w:pPr>
      <w:r w:rsidRPr="001A45C5">
        <w:rPr>
          <w:rStyle w:val="Funotenzeichen"/>
          <w:rFonts w:ascii="Times New Roman" w:hAnsi="Times New Roman" w:cs="Times New Roman"/>
          <w:sz w:val="16"/>
          <w:szCs w:val="16"/>
        </w:rPr>
        <w:footnoteRef/>
      </w:r>
      <w:r w:rsidRPr="001A45C5">
        <w:rPr>
          <w:rFonts w:ascii="Times New Roman" w:hAnsi="Times New Roman" w:cs="Times New Roman"/>
          <w:sz w:val="16"/>
          <w:szCs w:val="16"/>
        </w:rPr>
        <w:t xml:space="preserve"> Potenziell aktivierbares Arbeitskräftepotenzial: Personen wohnhaft in Österreich, Altersgruppe 16 bis 64 Jahre, mindestens ein Jahr durchgängig im Arbeitsmarktstatus OLF (Out </w:t>
      </w:r>
      <w:proofErr w:type="spellStart"/>
      <w:r w:rsidRPr="001A45C5">
        <w:rPr>
          <w:rFonts w:ascii="Times New Roman" w:hAnsi="Times New Roman" w:cs="Times New Roman"/>
          <w:sz w:val="16"/>
          <w:szCs w:val="16"/>
        </w:rPr>
        <w:t>of</w:t>
      </w:r>
      <w:proofErr w:type="spellEnd"/>
      <w:r w:rsidRPr="001A45C5">
        <w:rPr>
          <w:rFonts w:ascii="Times New Roman" w:hAnsi="Times New Roman" w:cs="Times New Roman"/>
          <w:sz w:val="16"/>
          <w:szCs w:val="16"/>
        </w:rPr>
        <w:t xml:space="preserve"> Labour Force), nicht in Ausbildung, nicht in Pension, ohne Zivil-/Präsenzdienst, ohne Wochengeldbezug im letzten Jahr.</w:t>
      </w:r>
    </w:p>
  </w:footnote>
  <w:footnote w:id="3">
    <w:p w14:paraId="22DB420C" w14:textId="67ED121A" w:rsidR="00E46D66" w:rsidRPr="001A45C5" w:rsidRDefault="00E46D66">
      <w:pPr>
        <w:pStyle w:val="Funotentext"/>
        <w:rPr>
          <w:rFonts w:ascii="Times New Roman" w:hAnsi="Times New Roman" w:cs="Times New Roman"/>
          <w:sz w:val="16"/>
          <w:szCs w:val="16"/>
        </w:rPr>
      </w:pPr>
      <w:r w:rsidRPr="001A45C5">
        <w:rPr>
          <w:rStyle w:val="Funotenzeichen"/>
          <w:rFonts w:ascii="Times New Roman" w:hAnsi="Times New Roman" w:cs="Times New Roman"/>
          <w:sz w:val="16"/>
          <w:szCs w:val="16"/>
        </w:rPr>
        <w:footnoteRef/>
      </w:r>
      <w:r w:rsidRPr="001A45C5">
        <w:rPr>
          <w:rFonts w:ascii="Times New Roman" w:hAnsi="Times New Roman" w:cs="Times New Roman"/>
          <w:sz w:val="16"/>
          <w:szCs w:val="16"/>
        </w:rPr>
        <w:t xml:space="preserve"> Der Status der restlichen Personen ist unbestimmt (bspw. </w:t>
      </w:r>
      <w:r w:rsidR="001A45C5">
        <w:rPr>
          <w:rFonts w:ascii="Times New Roman" w:hAnsi="Times New Roman" w:cs="Times New Roman"/>
          <w:sz w:val="16"/>
          <w:szCs w:val="16"/>
        </w:rPr>
        <w:t>„V</w:t>
      </w:r>
      <w:r w:rsidRPr="001A45C5">
        <w:rPr>
          <w:rFonts w:ascii="Times New Roman" w:hAnsi="Times New Roman" w:cs="Times New Roman"/>
          <w:sz w:val="16"/>
          <w:szCs w:val="16"/>
        </w:rPr>
        <w:t>erstorben</w:t>
      </w:r>
      <w:r w:rsidR="001A45C5">
        <w:rPr>
          <w:rFonts w:ascii="Times New Roman" w:hAnsi="Times New Roman" w:cs="Times New Roman"/>
          <w:sz w:val="16"/>
          <w:szCs w:val="16"/>
        </w:rPr>
        <w:t>“</w:t>
      </w:r>
      <w:r w:rsidRPr="001A45C5">
        <w:rPr>
          <w:rFonts w:ascii="Times New Roman" w:hAnsi="Times New Roman" w:cs="Times New Roman"/>
          <w:sz w:val="16"/>
          <w:szCs w:val="16"/>
        </w:rPr>
        <w:t xml:space="preserve"> oder </w:t>
      </w:r>
      <w:r w:rsidR="001A45C5">
        <w:rPr>
          <w:rFonts w:ascii="Times New Roman" w:hAnsi="Times New Roman" w:cs="Times New Roman"/>
          <w:sz w:val="16"/>
          <w:szCs w:val="16"/>
        </w:rPr>
        <w:t>„I</w:t>
      </w:r>
      <w:r w:rsidRPr="001A45C5">
        <w:rPr>
          <w:rFonts w:ascii="Times New Roman" w:hAnsi="Times New Roman" w:cs="Times New Roman"/>
          <w:sz w:val="16"/>
          <w:szCs w:val="16"/>
        </w:rPr>
        <w:t>m Ausland</w:t>
      </w:r>
      <w:r w:rsidR="001A45C5">
        <w:rPr>
          <w:rFonts w:ascii="Times New Roman" w:hAnsi="Times New Roman" w:cs="Times New Roman"/>
          <w:sz w:val="16"/>
          <w:szCs w:val="16"/>
        </w:rPr>
        <w:t>“</w:t>
      </w:r>
      <w:r w:rsidRPr="001A45C5">
        <w:rPr>
          <w:rFonts w:ascii="Times New Roman" w:hAnsi="Times New Roman" w:cs="Times New Roman"/>
          <w:sz w:val="16"/>
          <w:szCs w:val="16"/>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0DDA"/>
    <w:rsid w:val="00005FE6"/>
    <w:rsid w:val="001A45C5"/>
    <w:rsid w:val="00424CC2"/>
    <w:rsid w:val="00472D23"/>
    <w:rsid w:val="004C7C20"/>
    <w:rsid w:val="00504E75"/>
    <w:rsid w:val="00580D85"/>
    <w:rsid w:val="006214C9"/>
    <w:rsid w:val="00873146"/>
    <w:rsid w:val="00901961"/>
    <w:rsid w:val="009A3EE5"/>
    <w:rsid w:val="00A43610"/>
    <w:rsid w:val="00CB0D09"/>
    <w:rsid w:val="00DA0DDA"/>
    <w:rsid w:val="00E46D66"/>
    <w:rsid w:val="00E642F6"/>
    <w:rsid w:val="00EB7F8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4A9A3"/>
  <w15:chartTrackingRefBased/>
  <w15:docId w15:val="{56C2AE57-D451-46D7-8D17-86182B7C5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DA0D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DA0D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DA0DDA"/>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DA0DDA"/>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DA0DDA"/>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DA0DDA"/>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DA0DDA"/>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DA0DDA"/>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DA0DDA"/>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A0DD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DA0DD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DA0DDA"/>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DA0DDA"/>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DA0DDA"/>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DA0DD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DA0DD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DA0DD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DA0DDA"/>
    <w:rPr>
      <w:rFonts w:eastAsiaTheme="majorEastAsia" w:cstheme="majorBidi"/>
      <w:color w:val="272727" w:themeColor="text1" w:themeTint="D8"/>
    </w:rPr>
  </w:style>
  <w:style w:type="paragraph" w:styleId="Titel">
    <w:name w:val="Title"/>
    <w:basedOn w:val="Standard"/>
    <w:next w:val="Standard"/>
    <w:link w:val="TitelZchn"/>
    <w:uiPriority w:val="10"/>
    <w:qFormat/>
    <w:rsid w:val="00DA0D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DA0DDA"/>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DA0DDA"/>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DA0DDA"/>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DA0DDA"/>
    <w:pPr>
      <w:spacing w:before="160"/>
      <w:jc w:val="center"/>
    </w:pPr>
    <w:rPr>
      <w:i/>
      <w:iCs/>
      <w:color w:val="404040" w:themeColor="text1" w:themeTint="BF"/>
    </w:rPr>
  </w:style>
  <w:style w:type="character" w:customStyle="1" w:styleId="ZitatZchn">
    <w:name w:val="Zitat Zchn"/>
    <w:basedOn w:val="Absatz-Standardschriftart"/>
    <w:link w:val="Zitat"/>
    <w:uiPriority w:val="29"/>
    <w:rsid w:val="00DA0DDA"/>
    <w:rPr>
      <w:i/>
      <w:iCs/>
      <w:color w:val="404040" w:themeColor="text1" w:themeTint="BF"/>
    </w:rPr>
  </w:style>
  <w:style w:type="paragraph" w:styleId="Listenabsatz">
    <w:name w:val="List Paragraph"/>
    <w:basedOn w:val="Standard"/>
    <w:uiPriority w:val="34"/>
    <w:qFormat/>
    <w:rsid w:val="00DA0DDA"/>
    <w:pPr>
      <w:ind w:left="720"/>
      <w:contextualSpacing/>
    </w:pPr>
  </w:style>
  <w:style w:type="character" w:styleId="IntensiveHervorhebung">
    <w:name w:val="Intense Emphasis"/>
    <w:basedOn w:val="Absatz-Standardschriftart"/>
    <w:uiPriority w:val="21"/>
    <w:qFormat/>
    <w:rsid w:val="00DA0DDA"/>
    <w:rPr>
      <w:i/>
      <w:iCs/>
      <w:color w:val="0F4761" w:themeColor="accent1" w:themeShade="BF"/>
    </w:rPr>
  </w:style>
  <w:style w:type="paragraph" w:styleId="IntensivesZitat">
    <w:name w:val="Intense Quote"/>
    <w:basedOn w:val="Standard"/>
    <w:next w:val="Standard"/>
    <w:link w:val="IntensivesZitatZchn"/>
    <w:uiPriority w:val="30"/>
    <w:qFormat/>
    <w:rsid w:val="00DA0D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DA0DDA"/>
    <w:rPr>
      <w:i/>
      <w:iCs/>
      <w:color w:val="0F4761" w:themeColor="accent1" w:themeShade="BF"/>
    </w:rPr>
  </w:style>
  <w:style w:type="character" w:styleId="IntensiverVerweis">
    <w:name w:val="Intense Reference"/>
    <w:basedOn w:val="Absatz-Standardschriftart"/>
    <w:uiPriority w:val="32"/>
    <w:qFormat/>
    <w:rsid w:val="00DA0DDA"/>
    <w:rPr>
      <w:b/>
      <w:bCs/>
      <w:smallCaps/>
      <w:color w:val="0F4761" w:themeColor="accent1" w:themeShade="BF"/>
      <w:spacing w:val="5"/>
    </w:rPr>
  </w:style>
  <w:style w:type="paragraph" w:styleId="Funotentext">
    <w:name w:val="footnote text"/>
    <w:basedOn w:val="Standard"/>
    <w:link w:val="FunotentextZchn"/>
    <w:uiPriority w:val="99"/>
    <w:semiHidden/>
    <w:unhideWhenUsed/>
    <w:rsid w:val="00E46D66"/>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E46D66"/>
    <w:rPr>
      <w:sz w:val="20"/>
      <w:szCs w:val="20"/>
    </w:rPr>
  </w:style>
  <w:style w:type="character" w:styleId="Funotenzeichen">
    <w:name w:val="footnote reference"/>
    <w:basedOn w:val="Absatz-Standardschriftart"/>
    <w:uiPriority w:val="99"/>
    <w:semiHidden/>
    <w:unhideWhenUsed/>
    <w:rsid w:val="00E46D6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67365A-CFDC-482A-97B9-9342EC5FC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1358</Words>
  <Characters>8562</Characters>
  <Application>Microsoft Office Word</Application>
  <DocSecurity>0</DocSecurity>
  <Lines>71</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Rene Sturm</dc:creator>
  <cp:keywords/>
  <dc:description/>
  <cp:lastModifiedBy>Rene Sturm</cp:lastModifiedBy>
  <cp:revision>10</cp:revision>
  <dcterms:created xsi:type="dcterms:W3CDTF">2026-02-14T15:22:00Z</dcterms:created>
  <dcterms:modified xsi:type="dcterms:W3CDTF">2026-02-17T10:33:00Z</dcterms:modified>
</cp:coreProperties>
</file>